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697" w:rsidRPr="00105697" w:rsidRDefault="00105697" w:rsidP="00105697">
      <w:pPr>
        <w:ind w:right="-284"/>
        <w:jc w:val="center"/>
        <w:rPr>
          <w:rFonts w:ascii="Times New Roman" w:hAnsi="Times New Roman" w:cs="Times New Roman"/>
          <w:i/>
        </w:rPr>
      </w:pPr>
      <w:r w:rsidRPr="00105697">
        <w:rPr>
          <w:rFonts w:ascii="Times New Roman" w:hAnsi="Times New Roman" w:cs="Times New Roman"/>
          <w:i/>
        </w:rPr>
        <w:t xml:space="preserve">Üniversite Senatosunun 13.01.2026 tarih ve 02 </w:t>
      </w:r>
      <w:proofErr w:type="spellStart"/>
      <w:r w:rsidRPr="00105697">
        <w:rPr>
          <w:rFonts w:ascii="Times New Roman" w:hAnsi="Times New Roman" w:cs="Times New Roman"/>
          <w:i/>
        </w:rPr>
        <w:t>nolu</w:t>
      </w:r>
      <w:proofErr w:type="spellEnd"/>
      <w:r w:rsidRPr="00105697">
        <w:rPr>
          <w:rFonts w:ascii="Times New Roman" w:hAnsi="Times New Roman" w:cs="Times New Roman"/>
          <w:i/>
        </w:rPr>
        <w:t xml:space="preserve"> toplantı tutanağının 6. Maddesinin ekidir. </w:t>
      </w:r>
    </w:p>
    <w:p w:rsidR="00105697" w:rsidRDefault="00105697" w:rsidP="0099448B">
      <w:pPr>
        <w:jc w:val="center"/>
        <w:rPr>
          <w:rFonts w:ascii="Times New Roman" w:hAnsi="Times New Roman" w:cs="Times New Roman"/>
        </w:rPr>
      </w:pPr>
    </w:p>
    <w:p w:rsidR="00105697" w:rsidRPr="00105697" w:rsidRDefault="00105697" w:rsidP="0099448B">
      <w:pPr>
        <w:jc w:val="center"/>
        <w:rPr>
          <w:rFonts w:ascii="Times New Roman" w:hAnsi="Times New Roman" w:cs="Times New Roman"/>
        </w:rPr>
      </w:pPr>
    </w:p>
    <w:p w:rsidR="0099448B" w:rsidRDefault="0099448B" w:rsidP="0099448B">
      <w:pPr>
        <w:jc w:val="center"/>
        <w:rPr>
          <w:rFonts w:ascii="Times New Roman" w:hAnsi="Times New Roman" w:cs="Times New Roman"/>
          <w:b/>
        </w:rPr>
      </w:pPr>
      <w:r>
        <w:rPr>
          <w:rFonts w:ascii="Times New Roman" w:hAnsi="Times New Roman" w:cs="Times New Roman"/>
          <w:b/>
        </w:rPr>
        <w:t>T.C.</w:t>
      </w:r>
    </w:p>
    <w:p w:rsidR="0099448B" w:rsidRDefault="0099448B" w:rsidP="0099448B">
      <w:pPr>
        <w:jc w:val="center"/>
        <w:rPr>
          <w:rFonts w:ascii="Times New Roman" w:hAnsi="Times New Roman" w:cs="Times New Roman"/>
          <w:b/>
        </w:rPr>
      </w:pPr>
      <w:r>
        <w:rPr>
          <w:rFonts w:ascii="Times New Roman" w:hAnsi="Times New Roman" w:cs="Times New Roman"/>
          <w:b/>
        </w:rPr>
        <w:t>GAZİANTEP ÜNİVERSİTESİ</w:t>
      </w:r>
    </w:p>
    <w:p w:rsidR="0099448B" w:rsidRDefault="0099448B" w:rsidP="0099448B">
      <w:pPr>
        <w:jc w:val="center"/>
        <w:rPr>
          <w:rFonts w:ascii="Times New Roman" w:hAnsi="Times New Roman" w:cs="Times New Roman"/>
          <w:b/>
        </w:rPr>
      </w:pPr>
      <w:r>
        <w:rPr>
          <w:rFonts w:ascii="Times New Roman" w:hAnsi="Times New Roman" w:cs="Times New Roman"/>
          <w:b/>
        </w:rPr>
        <w:t>LİSANSÜSTÜ EĞİTİM VE ÖĞRETİM</w:t>
      </w:r>
    </w:p>
    <w:p w:rsidR="0099448B" w:rsidRDefault="0099448B" w:rsidP="0099448B">
      <w:pPr>
        <w:jc w:val="center"/>
        <w:rPr>
          <w:rFonts w:ascii="Times New Roman" w:hAnsi="Times New Roman" w:cs="Times New Roman"/>
          <w:b/>
        </w:rPr>
      </w:pPr>
      <w:r>
        <w:rPr>
          <w:rFonts w:ascii="Times New Roman" w:hAnsi="Times New Roman" w:cs="Times New Roman"/>
          <w:b/>
        </w:rPr>
        <w:t>MUAFİYET VE İNTİBAK İŞLEMLERİ YÖNERGESİ</w:t>
      </w:r>
    </w:p>
    <w:p w:rsidR="0099448B" w:rsidRDefault="0099448B" w:rsidP="0099448B">
      <w:pPr>
        <w:rPr>
          <w:rFonts w:ascii="Times New Roman" w:hAnsi="Times New Roman" w:cs="Times New Roman"/>
        </w:rPr>
      </w:pPr>
      <w:r>
        <w:rPr>
          <w:rFonts w:ascii="Times New Roman" w:hAnsi="Times New Roman" w:cs="Times New Roman"/>
        </w:rPr>
        <w:t xml:space="preserve"> </w:t>
      </w:r>
    </w:p>
    <w:p w:rsidR="0099448B" w:rsidRDefault="0099448B" w:rsidP="0099448B">
      <w:pPr>
        <w:jc w:val="both"/>
        <w:rPr>
          <w:rFonts w:ascii="Times New Roman" w:hAnsi="Times New Roman" w:cs="Times New Roman"/>
          <w:b/>
        </w:rPr>
      </w:pPr>
      <w:r>
        <w:rPr>
          <w:rFonts w:ascii="Times New Roman" w:hAnsi="Times New Roman" w:cs="Times New Roman"/>
          <w:b/>
        </w:rPr>
        <w:t>Amaç</w:t>
      </w:r>
    </w:p>
    <w:p w:rsidR="0099448B" w:rsidRDefault="00105697" w:rsidP="0099448B">
      <w:pPr>
        <w:jc w:val="both"/>
        <w:rPr>
          <w:rFonts w:ascii="Times New Roman" w:hAnsi="Times New Roman" w:cs="Times New Roman"/>
        </w:rPr>
      </w:pPr>
      <w:r>
        <w:rPr>
          <w:rFonts w:ascii="Times New Roman" w:hAnsi="Times New Roman" w:cs="Times New Roman"/>
          <w:b/>
        </w:rPr>
        <w:t>Madde 1-</w:t>
      </w:r>
      <w:r w:rsidR="0099448B">
        <w:rPr>
          <w:rFonts w:ascii="Times New Roman" w:hAnsi="Times New Roman" w:cs="Times New Roman"/>
        </w:rPr>
        <w:t xml:space="preserve"> </w:t>
      </w:r>
      <w:r>
        <w:rPr>
          <w:rFonts w:ascii="Times New Roman" w:hAnsi="Times New Roman" w:cs="Times New Roman"/>
        </w:rPr>
        <w:t xml:space="preserve"> </w:t>
      </w:r>
      <w:r w:rsidR="0099448B">
        <w:rPr>
          <w:rFonts w:ascii="Times New Roman" w:hAnsi="Times New Roman" w:cs="Times New Roman"/>
        </w:rPr>
        <w:t xml:space="preserve">Bu Yönergenin amacı, Gaziantep Üniversitesi Lisansüstü Eğitim Programlarına yeni kayıt yaptıran öğrencilerin daha önce Gaziantep Üniversitesinde veya denkliği Yükseköğretim Kurulu </w:t>
      </w:r>
      <w:r w:rsidR="00D23BA6">
        <w:rPr>
          <w:rFonts w:ascii="Times New Roman" w:hAnsi="Times New Roman" w:cs="Times New Roman"/>
        </w:rPr>
        <w:t xml:space="preserve">(YÖK) </w:t>
      </w:r>
      <w:r w:rsidR="0099448B">
        <w:rPr>
          <w:rFonts w:ascii="Times New Roman" w:hAnsi="Times New Roman" w:cs="Times New Roman"/>
        </w:rPr>
        <w:t>tarafından kabul edilen herhangi bir Yükseköğretim Kurumunun lisansüstü programında alıp başardığı derslerin muafiyet ve yarıyıl/yıl intibak esaslarını belirlemektir.</w:t>
      </w:r>
    </w:p>
    <w:p w:rsidR="0099448B" w:rsidRDefault="0099448B" w:rsidP="0099448B">
      <w:pPr>
        <w:jc w:val="both"/>
        <w:rPr>
          <w:rFonts w:ascii="Times New Roman" w:hAnsi="Times New Roman" w:cs="Times New Roman"/>
        </w:rPr>
      </w:pPr>
      <w:r>
        <w:rPr>
          <w:rFonts w:ascii="Times New Roman" w:hAnsi="Times New Roman" w:cs="Times New Roman"/>
        </w:rPr>
        <w:t xml:space="preserve"> </w:t>
      </w:r>
    </w:p>
    <w:p w:rsidR="0099448B" w:rsidRDefault="0099448B" w:rsidP="0099448B">
      <w:pPr>
        <w:jc w:val="both"/>
        <w:rPr>
          <w:rFonts w:ascii="Times New Roman" w:hAnsi="Times New Roman" w:cs="Times New Roman"/>
          <w:b/>
        </w:rPr>
      </w:pPr>
      <w:r>
        <w:rPr>
          <w:rFonts w:ascii="Times New Roman" w:hAnsi="Times New Roman" w:cs="Times New Roman"/>
          <w:b/>
        </w:rPr>
        <w:t>Kapsam</w:t>
      </w:r>
    </w:p>
    <w:p w:rsidR="0099448B" w:rsidRDefault="00105697" w:rsidP="0099448B">
      <w:pPr>
        <w:jc w:val="both"/>
        <w:rPr>
          <w:rFonts w:ascii="Times New Roman" w:hAnsi="Times New Roman" w:cs="Times New Roman"/>
          <w:b/>
        </w:rPr>
      </w:pPr>
      <w:r>
        <w:rPr>
          <w:rFonts w:ascii="Times New Roman" w:hAnsi="Times New Roman" w:cs="Times New Roman"/>
          <w:b/>
        </w:rPr>
        <w:t xml:space="preserve">Madde 2- </w:t>
      </w:r>
      <w:r w:rsidR="0099448B">
        <w:rPr>
          <w:rFonts w:ascii="Times New Roman" w:hAnsi="Times New Roman" w:cs="Times New Roman"/>
        </w:rPr>
        <w:t>Bu Yönerge; Gaziantep Üniversitesi lisansüstü öğrencilerinin daha önce Gaziantep Üniversitesi veya başka bir</w:t>
      </w:r>
      <w:r w:rsidR="0099448B">
        <w:rPr>
          <w:rFonts w:ascii="Times New Roman" w:hAnsi="Times New Roman" w:cs="Times New Roman"/>
          <w:b/>
        </w:rPr>
        <w:t xml:space="preserve"> </w:t>
      </w:r>
      <w:r w:rsidR="0099448B">
        <w:rPr>
          <w:rFonts w:ascii="Times New Roman" w:hAnsi="Times New Roman" w:cs="Times New Roman"/>
        </w:rPr>
        <w:t>yükseköğretim kurumuna bağlı bir lisansüstü programda alıp başardığı dersler dikkate alınarak muaf sayılacağı ve intibak yaptıracağı dersler ile bunlara bağlı olarak yarıyılın belirlenmesi işlemini kapsar. YÖK tarafından denkliği tanınmayan yurt dışındaki üniversitelerden alınan dersler için muafiyet ve intibak işlemleri yapılmaz.</w:t>
      </w:r>
    </w:p>
    <w:p w:rsidR="0099448B" w:rsidRDefault="0099448B" w:rsidP="0099448B">
      <w:pPr>
        <w:jc w:val="both"/>
        <w:rPr>
          <w:rFonts w:ascii="Times New Roman" w:hAnsi="Times New Roman" w:cs="Times New Roman"/>
        </w:rPr>
      </w:pPr>
      <w:r>
        <w:rPr>
          <w:rFonts w:ascii="Times New Roman" w:hAnsi="Times New Roman" w:cs="Times New Roman"/>
        </w:rPr>
        <w:t xml:space="preserve"> </w:t>
      </w:r>
    </w:p>
    <w:p w:rsidR="0099448B" w:rsidRDefault="0099448B" w:rsidP="0099448B">
      <w:pPr>
        <w:jc w:val="both"/>
        <w:rPr>
          <w:rFonts w:ascii="Times New Roman" w:hAnsi="Times New Roman" w:cs="Times New Roman"/>
          <w:b/>
        </w:rPr>
      </w:pPr>
      <w:r>
        <w:rPr>
          <w:rFonts w:ascii="Times New Roman" w:hAnsi="Times New Roman" w:cs="Times New Roman"/>
          <w:b/>
        </w:rPr>
        <w:t>Dayanak</w:t>
      </w:r>
    </w:p>
    <w:p w:rsidR="0099448B" w:rsidRDefault="00105697" w:rsidP="0099448B">
      <w:pPr>
        <w:jc w:val="both"/>
        <w:rPr>
          <w:rFonts w:ascii="Times New Roman" w:hAnsi="Times New Roman" w:cs="Times New Roman"/>
        </w:rPr>
      </w:pPr>
      <w:r>
        <w:rPr>
          <w:rFonts w:ascii="Times New Roman" w:hAnsi="Times New Roman" w:cs="Times New Roman"/>
          <w:b/>
        </w:rPr>
        <w:t xml:space="preserve">Madde 3- </w:t>
      </w:r>
      <w:r w:rsidR="0099448B">
        <w:rPr>
          <w:rFonts w:ascii="Times New Roman" w:hAnsi="Times New Roman" w:cs="Times New Roman"/>
        </w:rPr>
        <w:t xml:space="preserve">Bu Yönerge Yükseköğretim </w:t>
      </w:r>
      <w:r w:rsidR="001116E2">
        <w:rPr>
          <w:rFonts w:ascii="Times New Roman" w:hAnsi="Times New Roman" w:cs="Times New Roman"/>
        </w:rPr>
        <w:t>Kurulu</w:t>
      </w:r>
      <w:r w:rsidR="007B77F4">
        <w:rPr>
          <w:rFonts w:ascii="Times New Roman" w:hAnsi="Times New Roman" w:cs="Times New Roman"/>
        </w:rPr>
        <w:t xml:space="preserve"> Lisansüstü Eğitim ve Öğretim Yönetmeliği ve</w:t>
      </w:r>
      <w:r w:rsidR="0099448B">
        <w:rPr>
          <w:rFonts w:ascii="Times New Roman" w:hAnsi="Times New Roman" w:cs="Times New Roman"/>
        </w:rPr>
        <w:t xml:space="preserve"> Gaziantep Üniversitesi Lisansüstü Eğitim-Öğretim ve Sınav </w:t>
      </w:r>
      <w:r w:rsidR="001116E2">
        <w:rPr>
          <w:rFonts w:ascii="Times New Roman" w:hAnsi="Times New Roman" w:cs="Times New Roman"/>
        </w:rPr>
        <w:t xml:space="preserve">Yönetmeliğine </w:t>
      </w:r>
      <w:r w:rsidR="0099448B">
        <w:rPr>
          <w:rFonts w:ascii="Times New Roman" w:hAnsi="Times New Roman" w:cs="Times New Roman"/>
        </w:rPr>
        <w:t>dayanılarak hazırlanmıştır.</w:t>
      </w:r>
      <w:r w:rsidR="001116E2">
        <w:rPr>
          <w:rFonts w:ascii="Times New Roman" w:hAnsi="Times New Roman" w:cs="Times New Roman"/>
        </w:rPr>
        <w:t xml:space="preserve"> </w:t>
      </w:r>
    </w:p>
    <w:p w:rsidR="0099448B" w:rsidRDefault="0099448B" w:rsidP="0099448B">
      <w:pPr>
        <w:jc w:val="both"/>
        <w:rPr>
          <w:rFonts w:ascii="Times New Roman" w:hAnsi="Times New Roman" w:cs="Times New Roman"/>
        </w:rPr>
      </w:pPr>
      <w:r>
        <w:rPr>
          <w:rFonts w:ascii="Times New Roman" w:hAnsi="Times New Roman" w:cs="Times New Roman"/>
        </w:rPr>
        <w:t xml:space="preserve"> </w:t>
      </w:r>
    </w:p>
    <w:p w:rsidR="0099448B" w:rsidRDefault="0099448B" w:rsidP="0099448B">
      <w:pPr>
        <w:jc w:val="both"/>
        <w:rPr>
          <w:rFonts w:ascii="Times New Roman" w:hAnsi="Times New Roman" w:cs="Times New Roman"/>
          <w:b/>
        </w:rPr>
      </w:pPr>
      <w:r>
        <w:rPr>
          <w:rFonts w:ascii="Times New Roman" w:hAnsi="Times New Roman" w:cs="Times New Roman"/>
          <w:b/>
        </w:rPr>
        <w:t>Tanımlar</w:t>
      </w:r>
    </w:p>
    <w:p w:rsidR="0099448B" w:rsidRDefault="0099448B" w:rsidP="0099448B">
      <w:pPr>
        <w:jc w:val="both"/>
        <w:rPr>
          <w:rFonts w:ascii="Times New Roman" w:hAnsi="Times New Roman" w:cs="Times New Roman"/>
        </w:rPr>
      </w:pPr>
      <w:r>
        <w:rPr>
          <w:rFonts w:ascii="Times New Roman" w:hAnsi="Times New Roman" w:cs="Times New Roman"/>
          <w:b/>
        </w:rPr>
        <w:t>M</w:t>
      </w:r>
      <w:r w:rsidR="00105697">
        <w:rPr>
          <w:rFonts w:ascii="Times New Roman" w:hAnsi="Times New Roman" w:cs="Times New Roman"/>
          <w:b/>
        </w:rPr>
        <w:t xml:space="preserve">adde 4- </w:t>
      </w:r>
      <w:r>
        <w:rPr>
          <w:rFonts w:ascii="Times New Roman" w:hAnsi="Times New Roman" w:cs="Times New Roman"/>
        </w:rPr>
        <w:t>Bu Yönergede geçen:</w:t>
      </w:r>
      <w:r w:rsidR="001116E2">
        <w:rPr>
          <w:rFonts w:ascii="Times New Roman" w:hAnsi="Times New Roman" w:cs="Times New Roman"/>
        </w:rPr>
        <w:t xml:space="preserve"> </w:t>
      </w:r>
    </w:p>
    <w:p w:rsidR="00FF5F44" w:rsidRDefault="007B77F4" w:rsidP="00FF5F44">
      <w:pPr>
        <w:pStyle w:val="Default"/>
        <w:numPr>
          <w:ilvl w:val="0"/>
          <w:numId w:val="1"/>
        </w:numPr>
        <w:ind w:left="284" w:hanging="284"/>
      </w:pPr>
      <w:r>
        <w:t>AKTS: Avrupa Kredi Transfer Sistemi,</w:t>
      </w:r>
    </w:p>
    <w:p w:rsidR="00FF5F44" w:rsidRDefault="007B77F4" w:rsidP="007B77F4">
      <w:pPr>
        <w:pStyle w:val="Default"/>
        <w:numPr>
          <w:ilvl w:val="0"/>
          <w:numId w:val="1"/>
        </w:numPr>
        <w:ind w:left="284" w:hanging="284"/>
      </w:pPr>
      <w:r>
        <w:t>Enstitü: Gaziantep Üniversitesine bağlı ilgili enstitüyü,</w:t>
      </w:r>
    </w:p>
    <w:p w:rsidR="008A3D13" w:rsidRDefault="007B77F4" w:rsidP="007B77F4">
      <w:pPr>
        <w:pStyle w:val="Default"/>
        <w:numPr>
          <w:ilvl w:val="0"/>
          <w:numId w:val="1"/>
        </w:numPr>
        <w:ind w:left="284" w:hanging="284"/>
      </w:pPr>
      <w:r>
        <w:t>GNO: Genel Not Ortalaması,</w:t>
      </w:r>
    </w:p>
    <w:p w:rsidR="008A3D13" w:rsidRDefault="0099448B" w:rsidP="007B77F4">
      <w:pPr>
        <w:pStyle w:val="Default"/>
        <w:numPr>
          <w:ilvl w:val="0"/>
          <w:numId w:val="1"/>
        </w:numPr>
        <w:ind w:left="284" w:hanging="284"/>
      </w:pPr>
      <w:r>
        <w:t>Üniversite: Gaziantep Üniversitesini,</w:t>
      </w:r>
    </w:p>
    <w:p w:rsidR="0099448B" w:rsidRDefault="0099448B" w:rsidP="007B77F4">
      <w:pPr>
        <w:pStyle w:val="Default"/>
      </w:pPr>
      <w:proofErr w:type="gramStart"/>
      <w:r>
        <w:t>ifade</w:t>
      </w:r>
      <w:proofErr w:type="gramEnd"/>
      <w:r>
        <w:t xml:space="preserve"> eder.</w:t>
      </w:r>
    </w:p>
    <w:p w:rsidR="0099448B" w:rsidRDefault="0099448B" w:rsidP="0099448B">
      <w:pPr>
        <w:jc w:val="both"/>
        <w:rPr>
          <w:rFonts w:ascii="Times New Roman" w:hAnsi="Times New Roman" w:cs="Times New Roman"/>
        </w:rPr>
      </w:pPr>
      <w:r>
        <w:rPr>
          <w:rFonts w:ascii="Times New Roman" w:hAnsi="Times New Roman" w:cs="Times New Roman"/>
        </w:rPr>
        <w:t xml:space="preserve"> </w:t>
      </w:r>
    </w:p>
    <w:p w:rsidR="0099448B" w:rsidRDefault="0099448B" w:rsidP="0099448B">
      <w:pPr>
        <w:jc w:val="both"/>
        <w:rPr>
          <w:rFonts w:ascii="Times New Roman" w:hAnsi="Times New Roman" w:cs="Times New Roman"/>
          <w:b/>
        </w:rPr>
      </w:pPr>
      <w:r>
        <w:rPr>
          <w:rFonts w:ascii="Times New Roman" w:hAnsi="Times New Roman" w:cs="Times New Roman"/>
          <w:b/>
        </w:rPr>
        <w:t>Muafiyet ve İntibak ile ilgili hususlar</w:t>
      </w:r>
    </w:p>
    <w:p w:rsidR="008542CD" w:rsidRDefault="00105697" w:rsidP="0099448B">
      <w:pPr>
        <w:jc w:val="both"/>
        <w:rPr>
          <w:rFonts w:ascii="Times New Roman" w:hAnsi="Times New Roman" w:cs="Times New Roman"/>
          <w:b/>
        </w:rPr>
      </w:pPr>
      <w:r>
        <w:rPr>
          <w:rFonts w:ascii="Times New Roman" w:hAnsi="Times New Roman" w:cs="Times New Roman"/>
          <w:b/>
        </w:rPr>
        <w:t>Madde 5-</w:t>
      </w:r>
    </w:p>
    <w:p w:rsidR="008542CD" w:rsidRDefault="0099448B" w:rsidP="008542CD">
      <w:pPr>
        <w:pStyle w:val="ListeParagraf"/>
        <w:numPr>
          <w:ilvl w:val="0"/>
          <w:numId w:val="7"/>
        </w:numPr>
        <w:ind w:left="426" w:hanging="426"/>
        <w:jc w:val="both"/>
        <w:rPr>
          <w:rFonts w:ascii="Times New Roman" w:hAnsi="Times New Roman" w:cs="Times New Roman"/>
        </w:rPr>
      </w:pPr>
      <w:r w:rsidRPr="008542CD">
        <w:rPr>
          <w:rFonts w:ascii="Times New Roman" w:hAnsi="Times New Roman" w:cs="Times New Roman"/>
        </w:rPr>
        <w:t>Muafiyet/intibak işlemleri için öğrencilerin; akademik takvimde belirlenen derslerin başlama tarihine kadar ilgili enstitü anabilim/</w:t>
      </w:r>
      <w:proofErr w:type="spellStart"/>
      <w:r w:rsidRPr="008542CD">
        <w:rPr>
          <w:rFonts w:ascii="Times New Roman" w:hAnsi="Times New Roman" w:cs="Times New Roman"/>
        </w:rPr>
        <w:t>anasanat</w:t>
      </w:r>
      <w:proofErr w:type="spellEnd"/>
      <w:r w:rsidRPr="008542CD">
        <w:rPr>
          <w:rFonts w:ascii="Times New Roman" w:hAnsi="Times New Roman" w:cs="Times New Roman"/>
        </w:rPr>
        <w:t xml:space="preserve"> dalı başkanlığına dilekçe ile başvurmaları gerekir. </w:t>
      </w:r>
    </w:p>
    <w:p w:rsidR="008542CD" w:rsidRDefault="0099448B" w:rsidP="008542CD">
      <w:pPr>
        <w:pStyle w:val="ListeParagraf"/>
        <w:numPr>
          <w:ilvl w:val="0"/>
          <w:numId w:val="7"/>
        </w:numPr>
        <w:ind w:left="426" w:hanging="426"/>
        <w:jc w:val="both"/>
        <w:rPr>
          <w:rFonts w:ascii="Times New Roman" w:hAnsi="Times New Roman" w:cs="Times New Roman"/>
        </w:rPr>
      </w:pPr>
      <w:r w:rsidRPr="008542CD">
        <w:rPr>
          <w:rFonts w:ascii="Times New Roman" w:hAnsi="Times New Roman" w:cs="Times New Roman"/>
        </w:rPr>
        <w:t xml:space="preserve">Ders muafiyet ve intibak işlemlerinin öğrencinin ilgili programa </w:t>
      </w:r>
      <w:r w:rsidR="00F23DFF" w:rsidRPr="008542CD">
        <w:rPr>
          <w:rFonts w:ascii="Times New Roman" w:hAnsi="Times New Roman" w:cs="Times New Roman"/>
        </w:rPr>
        <w:t xml:space="preserve">kayıt olduğu </w:t>
      </w:r>
      <w:r w:rsidRPr="008542CD">
        <w:rPr>
          <w:rFonts w:ascii="Times New Roman" w:hAnsi="Times New Roman" w:cs="Times New Roman"/>
        </w:rPr>
        <w:t>ilk yarıyıl yapılması zorunludur. Ancak ilgili anabilim/</w:t>
      </w:r>
      <w:proofErr w:type="spellStart"/>
      <w:r w:rsidRPr="008542CD">
        <w:rPr>
          <w:rFonts w:ascii="Times New Roman" w:hAnsi="Times New Roman" w:cs="Times New Roman"/>
        </w:rPr>
        <w:t>anasanat</w:t>
      </w:r>
      <w:proofErr w:type="spellEnd"/>
      <w:r w:rsidRPr="008542CD">
        <w:rPr>
          <w:rFonts w:ascii="Times New Roman" w:hAnsi="Times New Roman" w:cs="Times New Roman"/>
        </w:rPr>
        <w:t xml:space="preserve"> dalı kurulu, gerekçeli karar ile bu süreyi istisnai durumlarda en fazla bir dönem uzatabilir. </w:t>
      </w:r>
    </w:p>
    <w:p w:rsidR="008542CD" w:rsidRDefault="0099448B" w:rsidP="008542CD">
      <w:pPr>
        <w:pStyle w:val="ListeParagraf"/>
        <w:numPr>
          <w:ilvl w:val="0"/>
          <w:numId w:val="7"/>
        </w:numPr>
        <w:ind w:left="426" w:hanging="426"/>
        <w:jc w:val="both"/>
        <w:rPr>
          <w:rFonts w:ascii="Times New Roman" w:hAnsi="Times New Roman" w:cs="Times New Roman"/>
        </w:rPr>
      </w:pPr>
      <w:r w:rsidRPr="008542CD">
        <w:rPr>
          <w:rFonts w:ascii="Times New Roman" w:hAnsi="Times New Roman" w:cs="Times New Roman"/>
        </w:rPr>
        <w:t>Bilimsel hazırlık programındaki öğrenciler hazırlık programını başarı ile tamamladıktan sonra muafiyet ve intibak işlemlerini yaparlar. Bilimsel hazırlık programında alınması için önerilen dersler, ilgili lisansüstü programını tamamlamak için gerekli görülen derslerin yerine geçmez. Bilimsel hazırlık sırasında alınan en fazla iki lisansüstü dersi intibak işleminde dikkate alınır.</w:t>
      </w:r>
    </w:p>
    <w:p w:rsidR="008542CD" w:rsidRDefault="0099448B" w:rsidP="008542CD">
      <w:pPr>
        <w:pStyle w:val="ListeParagraf"/>
        <w:numPr>
          <w:ilvl w:val="0"/>
          <w:numId w:val="7"/>
        </w:numPr>
        <w:ind w:left="426" w:hanging="426"/>
        <w:jc w:val="both"/>
        <w:rPr>
          <w:rFonts w:ascii="Times New Roman" w:hAnsi="Times New Roman" w:cs="Times New Roman"/>
        </w:rPr>
      </w:pPr>
      <w:r w:rsidRPr="008542CD">
        <w:rPr>
          <w:rFonts w:ascii="Times New Roman" w:hAnsi="Times New Roman" w:cs="Times New Roman"/>
        </w:rPr>
        <w:t xml:space="preserve">Başvuru şahsen veya öğrencinin vekâlet vermiş olduğu </w:t>
      </w:r>
      <w:r w:rsidR="00F23DFF" w:rsidRPr="008542CD">
        <w:rPr>
          <w:rFonts w:ascii="Times New Roman" w:hAnsi="Times New Roman" w:cs="Times New Roman"/>
        </w:rPr>
        <w:t xml:space="preserve">yasal </w:t>
      </w:r>
      <w:r w:rsidRPr="008542CD">
        <w:rPr>
          <w:rFonts w:ascii="Times New Roman" w:hAnsi="Times New Roman" w:cs="Times New Roman"/>
        </w:rPr>
        <w:t>temsilcisi tarafından ilgili enstitü anabilim/</w:t>
      </w:r>
      <w:proofErr w:type="spellStart"/>
      <w:r w:rsidRPr="008542CD">
        <w:rPr>
          <w:rFonts w:ascii="Times New Roman" w:hAnsi="Times New Roman" w:cs="Times New Roman"/>
        </w:rPr>
        <w:t>anasanat</w:t>
      </w:r>
      <w:proofErr w:type="spellEnd"/>
      <w:r w:rsidRPr="008542CD">
        <w:rPr>
          <w:rFonts w:ascii="Times New Roman" w:hAnsi="Times New Roman" w:cs="Times New Roman"/>
        </w:rPr>
        <w:t xml:space="preserve"> dalı başkanlığına yapılmalıdır. </w:t>
      </w:r>
    </w:p>
    <w:p w:rsidR="008542CD" w:rsidRDefault="0099448B" w:rsidP="008542CD">
      <w:pPr>
        <w:pStyle w:val="ListeParagraf"/>
        <w:numPr>
          <w:ilvl w:val="0"/>
          <w:numId w:val="7"/>
        </w:numPr>
        <w:ind w:left="426" w:hanging="426"/>
        <w:jc w:val="both"/>
        <w:rPr>
          <w:rFonts w:ascii="Times New Roman" w:hAnsi="Times New Roman" w:cs="Times New Roman"/>
        </w:rPr>
      </w:pPr>
      <w:r w:rsidRPr="008542CD">
        <w:rPr>
          <w:rFonts w:ascii="Times New Roman" w:hAnsi="Times New Roman" w:cs="Times New Roman"/>
        </w:rPr>
        <w:lastRenderedPageBreak/>
        <w:t xml:space="preserve">Öğrenci başvuru dilekçesinin ekine daha önce öğrenim gördüğü yükseköğretim kurumu tarafından onaylanmış öğrenim belgesi (transkript) ve intibakını talep ettikleri derslerin içeriklerini enstitü anabilim dalı başkanlıklarına sunmak zorundadır. </w:t>
      </w:r>
    </w:p>
    <w:p w:rsidR="008542CD" w:rsidRDefault="0099448B" w:rsidP="008542CD">
      <w:pPr>
        <w:pStyle w:val="ListeParagraf"/>
        <w:numPr>
          <w:ilvl w:val="0"/>
          <w:numId w:val="7"/>
        </w:numPr>
        <w:ind w:left="426" w:hanging="426"/>
        <w:jc w:val="both"/>
        <w:rPr>
          <w:rFonts w:ascii="Times New Roman" w:hAnsi="Times New Roman" w:cs="Times New Roman"/>
        </w:rPr>
      </w:pPr>
      <w:r w:rsidRPr="008542CD">
        <w:rPr>
          <w:rFonts w:ascii="Times New Roman" w:hAnsi="Times New Roman" w:cs="Times New Roman"/>
        </w:rPr>
        <w:t xml:space="preserve">Öğrenciler muaf olmak istedikleri dersler için müracaatlarını enstitünün ders intibak formunu doldurarak ilgili ana bilim/ana sanat dalı başkanlığına </w:t>
      </w:r>
      <w:r w:rsidR="00B608C7" w:rsidRPr="008542CD">
        <w:rPr>
          <w:rFonts w:ascii="Times New Roman" w:hAnsi="Times New Roman" w:cs="Times New Roman"/>
        </w:rPr>
        <w:t xml:space="preserve">(5) </w:t>
      </w:r>
      <w:proofErr w:type="spellStart"/>
      <w:r w:rsidR="00B608C7" w:rsidRPr="008542CD">
        <w:rPr>
          <w:rFonts w:ascii="Times New Roman" w:hAnsi="Times New Roman" w:cs="Times New Roman"/>
        </w:rPr>
        <w:t>nolu</w:t>
      </w:r>
      <w:proofErr w:type="spellEnd"/>
      <w:r w:rsidR="00B608C7" w:rsidRPr="008542CD">
        <w:rPr>
          <w:rFonts w:ascii="Times New Roman" w:hAnsi="Times New Roman" w:cs="Times New Roman"/>
        </w:rPr>
        <w:t xml:space="preserve"> açıklamada yer alan belgelerle birlikte </w:t>
      </w:r>
      <w:r w:rsidRPr="008542CD">
        <w:rPr>
          <w:rFonts w:ascii="Times New Roman" w:hAnsi="Times New Roman" w:cs="Times New Roman"/>
        </w:rPr>
        <w:t xml:space="preserve">yapar. </w:t>
      </w:r>
    </w:p>
    <w:p w:rsidR="008542CD" w:rsidRDefault="0099448B" w:rsidP="008542CD">
      <w:pPr>
        <w:pStyle w:val="ListeParagraf"/>
        <w:numPr>
          <w:ilvl w:val="0"/>
          <w:numId w:val="7"/>
        </w:numPr>
        <w:ind w:left="426" w:hanging="426"/>
        <w:jc w:val="both"/>
        <w:rPr>
          <w:rFonts w:ascii="Times New Roman" w:hAnsi="Times New Roman" w:cs="Times New Roman"/>
        </w:rPr>
      </w:pPr>
      <w:r w:rsidRPr="008542CD">
        <w:rPr>
          <w:rFonts w:ascii="Times New Roman" w:hAnsi="Times New Roman" w:cs="Times New Roman"/>
        </w:rPr>
        <w:t>Mezun olunan lisansüstü programda alınan dersler (Araştırma Yöntemleri ve Bilimsel Etik Dersi ile dengi dersler hariç) muafiyet ve intibak işlemlerinde kullanılamaz.</w:t>
      </w:r>
      <w:r w:rsidR="00111A38" w:rsidRPr="008542CD">
        <w:rPr>
          <w:rFonts w:ascii="Times New Roman" w:hAnsi="Times New Roman" w:cs="Times New Roman"/>
        </w:rPr>
        <w:t xml:space="preserve"> </w:t>
      </w:r>
    </w:p>
    <w:p w:rsidR="008542CD" w:rsidRDefault="0099448B" w:rsidP="008542CD">
      <w:pPr>
        <w:pStyle w:val="ListeParagraf"/>
        <w:numPr>
          <w:ilvl w:val="0"/>
          <w:numId w:val="7"/>
        </w:numPr>
        <w:ind w:left="426" w:hanging="426"/>
        <w:jc w:val="both"/>
        <w:rPr>
          <w:rFonts w:ascii="Times New Roman" w:hAnsi="Times New Roman" w:cs="Times New Roman"/>
        </w:rPr>
      </w:pPr>
      <w:r w:rsidRPr="008542CD">
        <w:rPr>
          <w:rFonts w:ascii="Times New Roman" w:hAnsi="Times New Roman" w:cs="Times New Roman"/>
        </w:rPr>
        <w:t>Muafiyet ve intibak isteği, ilgili enstitü anabilim/</w:t>
      </w:r>
      <w:proofErr w:type="spellStart"/>
      <w:r w:rsidRPr="008542CD">
        <w:rPr>
          <w:rFonts w:ascii="Times New Roman" w:hAnsi="Times New Roman" w:cs="Times New Roman"/>
        </w:rPr>
        <w:t>anasanat</w:t>
      </w:r>
      <w:proofErr w:type="spellEnd"/>
      <w:r w:rsidRPr="008542CD">
        <w:rPr>
          <w:rFonts w:ascii="Times New Roman" w:hAnsi="Times New Roman" w:cs="Times New Roman"/>
        </w:rPr>
        <w:t xml:space="preserve"> dalı kurulu</w:t>
      </w:r>
      <w:r w:rsidR="008A3D13">
        <w:rPr>
          <w:rFonts w:ascii="Times New Roman" w:hAnsi="Times New Roman" w:cs="Times New Roman"/>
        </w:rPr>
        <w:t xml:space="preserve"> </w:t>
      </w:r>
      <w:r w:rsidRPr="008542CD">
        <w:rPr>
          <w:rFonts w:ascii="Times New Roman" w:hAnsi="Times New Roman" w:cs="Times New Roman"/>
        </w:rPr>
        <w:t xml:space="preserve">tarafından incelenir ve öğrencinin daha önce almış olduğu derslerin içerik, eğitim dili, yerel ders kredisi yeterliliği (haftalık ders saati), başarı notu bakımından (yüksek lisans en az CC, doktora CB) değerlendirilerek ders intibak formu hazırlanır. İntibakı yapılacak dersin yerel kredisinin saydırılacak derse eşit veya yüksek olması gerekir. </w:t>
      </w:r>
    </w:p>
    <w:p w:rsidR="008542CD" w:rsidRDefault="0099448B" w:rsidP="008542CD">
      <w:pPr>
        <w:pStyle w:val="ListeParagraf"/>
        <w:numPr>
          <w:ilvl w:val="0"/>
          <w:numId w:val="7"/>
        </w:numPr>
        <w:ind w:left="426" w:hanging="426"/>
        <w:jc w:val="both"/>
        <w:rPr>
          <w:rFonts w:ascii="Times New Roman" w:hAnsi="Times New Roman" w:cs="Times New Roman"/>
        </w:rPr>
      </w:pPr>
      <w:r w:rsidRPr="008542CD">
        <w:rPr>
          <w:rFonts w:ascii="Times New Roman" w:hAnsi="Times New Roman" w:cs="Times New Roman"/>
        </w:rPr>
        <w:t>Muaf</w:t>
      </w:r>
      <w:r w:rsidR="00111A38" w:rsidRPr="008542CD">
        <w:rPr>
          <w:rFonts w:ascii="Times New Roman" w:hAnsi="Times New Roman" w:cs="Times New Roman"/>
        </w:rPr>
        <w:t>iyeti on</w:t>
      </w:r>
      <w:r w:rsidR="00FF5F44" w:rsidRPr="008542CD">
        <w:rPr>
          <w:rFonts w:ascii="Times New Roman" w:hAnsi="Times New Roman" w:cs="Times New Roman"/>
        </w:rPr>
        <w:t>a</w:t>
      </w:r>
      <w:r w:rsidR="00111A38" w:rsidRPr="008542CD">
        <w:rPr>
          <w:rFonts w:ascii="Times New Roman" w:hAnsi="Times New Roman" w:cs="Times New Roman"/>
        </w:rPr>
        <w:t>ylanan</w:t>
      </w:r>
      <w:r w:rsidRPr="008542CD">
        <w:rPr>
          <w:rFonts w:ascii="Times New Roman" w:hAnsi="Times New Roman" w:cs="Times New Roman"/>
        </w:rPr>
        <w:t xml:space="preserve"> ve/veya intibakları yapılan dersler öğrencinin not döküm belgesine (transkript) işlenir. Ancak sadece intibakları yapılan dersler öğrencinin GNO hesaplanmasında</w:t>
      </w:r>
      <w:r w:rsidRPr="008542CD">
        <w:rPr>
          <w:b/>
        </w:rPr>
        <w:t xml:space="preserve"> </w:t>
      </w:r>
      <w:r w:rsidRPr="008542CD">
        <w:rPr>
          <w:rFonts w:ascii="Times New Roman" w:hAnsi="Times New Roman" w:cs="Times New Roman"/>
        </w:rPr>
        <w:t>değerlendirmeye katılır.</w:t>
      </w:r>
    </w:p>
    <w:p w:rsidR="008542CD" w:rsidRDefault="0099448B" w:rsidP="008542CD">
      <w:pPr>
        <w:pStyle w:val="ListeParagraf"/>
        <w:numPr>
          <w:ilvl w:val="0"/>
          <w:numId w:val="7"/>
        </w:numPr>
        <w:ind w:left="426" w:hanging="426"/>
        <w:jc w:val="both"/>
        <w:rPr>
          <w:rFonts w:ascii="Times New Roman" w:hAnsi="Times New Roman" w:cs="Times New Roman"/>
        </w:rPr>
      </w:pPr>
      <w:r w:rsidRPr="008542CD">
        <w:rPr>
          <w:rFonts w:ascii="Times New Roman" w:hAnsi="Times New Roman" w:cs="Times New Roman"/>
        </w:rPr>
        <w:t>Öğrencilerin dönemleri hesaplanırken intibakı yapılan derslerin AKTS toplamına göre her 30 AKTS için bir (1) dönem düşülür.  Kayıtlı olduğu lisansüstü programının ders aşamasında alması gereken asgari kredili dersler ve seminer dersinden muaf olunması durumunda 0</w:t>
      </w:r>
      <w:r w:rsidRPr="008542CD">
        <w:rPr>
          <w:rFonts w:ascii="Symbol" w:hAnsi="Symbol"/>
        </w:rPr>
        <w:t></w:t>
      </w:r>
      <w:r w:rsidRPr="008542CD">
        <w:rPr>
          <w:rFonts w:ascii="Times New Roman" w:hAnsi="Times New Roman" w:cs="Times New Roman"/>
        </w:rPr>
        <w:t>AKTS</w:t>
      </w:r>
      <w:r w:rsidRPr="008542CD">
        <w:rPr>
          <w:rFonts w:ascii="Symbol" w:hAnsi="Symbol"/>
        </w:rPr>
        <w:t></w:t>
      </w:r>
      <w:r w:rsidRPr="008542CD">
        <w:rPr>
          <w:rFonts w:ascii="Times New Roman" w:hAnsi="Times New Roman" w:cs="Times New Roman"/>
        </w:rPr>
        <w:t>29 arası dersten muaf tutulması durumunda birinci (1) yarıyıla; 30</w:t>
      </w:r>
      <w:r w:rsidRPr="008542CD">
        <w:rPr>
          <w:rFonts w:ascii="Symbol" w:hAnsi="Symbol"/>
        </w:rPr>
        <w:t></w:t>
      </w:r>
      <w:r w:rsidRPr="008542CD">
        <w:rPr>
          <w:rFonts w:ascii="Times New Roman" w:hAnsi="Times New Roman" w:cs="Times New Roman"/>
        </w:rPr>
        <w:t>AKTS</w:t>
      </w:r>
      <w:r w:rsidRPr="008542CD">
        <w:rPr>
          <w:rFonts w:ascii="Symbol" w:hAnsi="Symbol"/>
        </w:rPr>
        <w:t></w:t>
      </w:r>
      <w:r w:rsidRPr="008542CD">
        <w:rPr>
          <w:rFonts w:ascii="Times New Roman" w:hAnsi="Times New Roman" w:cs="Times New Roman"/>
        </w:rPr>
        <w:t>59 arası dersten muaf olması durumunda ikinci (2) yarıyıla; (AKTS</w:t>
      </w:r>
      <w:r w:rsidRPr="008542CD">
        <w:rPr>
          <w:rFonts w:ascii="Symbol" w:hAnsi="Symbol"/>
        </w:rPr>
        <w:t></w:t>
      </w:r>
      <w:r w:rsidRPr="008542CD">
        <w:rPr>
          <w:rFonts w:ascii="Times New Roman" w:hAnsi="Times New Roman" w:cs="Times New Roman"/>
        </w:rPr>
        <w:t>60) öğrenci üçü</w:t>
      </w:r>
      <w:r w:rsidR="00AB5F63">
        <w:rPr>
          <w:rFonts w:ascii="Times New Roman" w:hAnsi="Times New Roman" w:cs="Times New Roman"/>
        </w:rPr>
        <w:t>ncü</w:t>
      </w:r>
      <w:r w:rsidRPr="008542CD">
        <w:rPr>
          <w:rFonts w:ascii="Times New Roman" w:hAnsi="Times New Roman" w:cs="Times New Roman"/>
        </w:rPr>
        <w:t xml:space="preserve"> (3) yarıyıla intibakları/kayıtları yapılır. Asgari yeterlik şartını sağlamış ve yeterlik sınavını başarmış doktora öğrencilerin yeterlik sınavından muaf tutulması halinde ise (AKTS</w:t>
      </w:r>
      <w:r w:rsidRPr="008542CD">
        <w:rPr>
          <w:rFonts w:ascii="Symbol" w:hAnsi="Symbol"/>
        </w:rPr>
        <w:t></w:t>
      </w:r>
      <w:r w:rsidRPr="008542CD">
        <w:rPr>
          <w:rFonts w:ascii="Times New Roman" w:hAnsi="Times New Roman" w:cs="Times New Roman"/>
        </w:rPr>
        <w:t>90) dördüncü (4) yarıyıla intibakları yapılır.</w:t>
      </w:r>
      <w:r w:rsidR="00E35507" w:rsidRPr="008542CD">
        <w:rPr>
          <w:rFonts w:ascii="Times New Roman" w:hAnsi="Times New Roman" w:cs="Times New Roman"/>
        </w:rPr>
        <w:t xml:space="preserve"> </w:t>
      </w:r>
    </w:p>
    <w:p w:rsidR="008542CD" w:rsidRDefault="0099448B" w:rsidP="008542CD">
      <w:pPr>
        <w:pStyle w:val="ListeParagraf"/>
        <w:numPr>
          <w:ilvl w:val="0"/>
          <w:numId w:val="7"/>
        </w:numPr>
        <w:ind w:left="426" w:hanging="426"/>
        <w:jc w:val="both"/>
        <w:rPr>
          <w:rFonts w:ascii="Times New Roman" w:hAnsi="Times New Roman" w:cs="Times New Roman"/>
        </w:rPr>
      </w:pPr>
      <w:r w:rsidRPr="008542CD">
        <w:rPr>
          <w:rFonts w:ascii="Times New Roman" w:hAnsi="Times New Roman" w:cs="Times New Roman"/>
        </w:rPr>
        <w:t>Öğrenci, muaf tutulduğu ve/veya intibakını saydırdığı dersleri daha sonraki yarıyıllarda tekrarlayabilir.</w:t>
      </w:r>
      <w:r w:rsidR="004130D1" w:rsidRPr="008542CD">
        <w:rPr>
          <w:rFonts w:ascii="Times New Roman" w:hAnsi="Times New Roman" w:cs="Times New Roman"/>
        </w:rPr>
        <w:t xml:space="preserve"> </w:t>
      </w:r>
      <w:r w:rsidRPr="008542CD">
        <w:rPr>
          <w:rFonts w:ascii="Times New Roman" w:hAnsi="Times New Roman" w:cs="Times New Roman"/>
        </w:rPr>
        <w:t>Ancak bu durumda öğrencinin aldığı son harf geçerli olup bu dersleri tekrar başarmak zorundadır.</w:t>
      </w:r>
    </w:p>
    <w:p w:rsidR="008542CD" w:rsidRDefault="0099448B" w:rsidP="008542CD">
      <w:pPr>
        <w:pStyle w:val="ListeParagraf"/>
        <w:numPr>
          <w:ilvl w:val="0"/>
          <w:numId w:val="7"/>
        </w:numPr>
        <w:ind w:left="426" w:hanging="426"/>
        <w:jc w:val="both"/>
        <w:rPr>
          <w:rFonts w:ascii="Times New Roman" w:hAnsi="Times New Roman" w:cs="Times New Roman"/>
        </w:rPr>
      </w:pPr>
      <w:r w:rsidRPr="008542CD">
        <w:rPr>
          <w:rFonts w:ascii="Times New Roman" w:hAnsi="Times New Roman" w:cs="Times New Roman"/>
        </w:rPr>
        <w:t xml:space="preserve">Seminer dersleri hariç, kredisiz derslerde muafiyet ve intibak işlemleri yapılmaz. Ayrıca tez önerisi savunma sınavının ve tez izleme komite toplantılarının intibak işlemi yapılamaz. </w:t>
      </w:r>
    </w:p>
    <w:p w:rsidR="008542CD" w:rsidRDefault="0099448B" w:rsidP="008542CD">
      <w:pPr>
        <w:pStyle w:val="ListeParagraf"/>
        <w:numPr>
          <w:ilvl w:val="0"/>
          <w:numId w:val="7"/>
        </w:numPr>
        <w:ind w:left="426" w:hanging="426"/>
        <w:jc w:val="both"/>
        <w:rPr>
          <w:rFonts w:ascii="Times New Roman" w:hAnsi="Times New Roman" w:cs="Times New Roman"/>
        </w:rPr>
      </w:pPr>
      <w:r w:rsidRPr="008542CD">
        <w:rPr>
          <w:rFonts w:ascii="Times New Roman" w:hAnsi="Times New Roman" w:cs="Times New Roman"/>
        </w:rPr>
        <w:t>Doktora yeterlik sınavını başarmış öğrenciler aynı programa tekrar kayıt yaptıklarında doktora yeterlik sınavından enstitü anabilim dalı kurulu kararıyla muaf tutulabilirler. Doktora yeterlik sınavı muafiyeti kabul edilen doktora programı öğrencisi için ilgili ana bilim/ana sanat dalı tarafından tez izleme komitesi oluşturulur ve öğrenci en geç yarıyıl sonuna kadar tez önerisi savunması sınavına alınır.</w:t>
      </w:r>
    </w:p>
    <w:p w:rsidR="0099448B" w:rsidRPr="008542CD" w:rsidRDefault="0099448B" w:rsidP="008542CD">
      <w:pPr>
        <w:pStyle w:val="ListeParagraf"/>
        <w:numPr>
          <w:ilvl w:val="0"/>
          <w:numId w:val="7"/>
        </w:numPr>
        <w:ind w:left="426" w:hanging="426"/>
        <w:jc w:val="both"/>
        <w:rPr>
          <w:rFonts w:ascii="Times New Roman" w:hAnsi="Times New Roman" w:cs="Times New Roman"/>
        </w:rPr>
      </w:pPr>
      <w:r w:rsidRPr="008542CD">
        <w:rPr>
          <w:rFonts w:ascii="Times New Roman" w:hAnsi="Times New Roman" w:cs="Times New Roman"/>
        </w:rPr>
        <w:t xml:space="preserve">Tez danışmanı değişikliği tez konusu değişikliğini zorunlu kılmaz. </w:t>
      </w:r>
    </w:p>
    <w:p w:rsidR="0099448B" w:rsidRDefault="0099448B" w:rsidP="0099448B">
      <w:pPr>
        <w:jc w:val="both"/>
        <w:rPr>
          <w:rFonts w:ascii="Times New Roman" w:hAnsi="Times New Roman" w:cs="Times New Roman"/>
        </w:rPr>
      </w:pPr>
      <w:r>
        <w:rPr>
          <w:rFonts w:ascii="Times New Roman" w:hAnsi="Times New Roman" w:cs="Times New Roman"/>
        </w:rPr>
        <w:t xml:space="preserve"> </w:t>
      </w:r>
    </w:p>
    <w:p w:rsidR="0099448B" w:rsidRDefault="0099448B" w:rsidP="0099448B">
      <w:pPr>
        <w:jc w:val="both"/>
        <w:rPr>
          <w:rFonts w:ascii="Times New Roman" w:hAnsi="Times New Roman" w:cs="Times New Roman"/>
          <w:b/>
        </w:rPr>
      </w:pPr>
      <w:r>
        <w:rPr>
          <w:rFonts w:ascii="Times New Roman" w:hAnsi="Times New Roman" w:cs="Times New Roman"/>
          <w:b/>
        </w:rPr>
        <w:t>Ders İntibak Formunun Düzenlenmesi</w:t>
      </w:r>
    </w:p>
    <w:p w:rsidR="008542CD" w:rsidRDefault="00105697" w:rsidP="0099448B">
      <w:pPr>
        <w:jc w:val="both"/>
        <w:rPr>
          <w:rFonts w:ascii="Times New Roman" w:hAnsi="Times New Roman" w:cs="Times New Roman"/>
          <w:b/>
        </w:rPr>
      </w:pPr>
      <w:r>
        <w:rPr>
          <w:rFonts w:ascii="Times New Roman" w:hAnsi="Times New Roman" w:cs="Times New Roman"/>
          <w:b/>
        </w:rPr>
        <w:t>Madde 6-</w:t>
      </w:r>
    </w:p>
    <w:p w:rsidR="008542CD" w:rsidRDefault="0099448B" w:rsidP="0099448B">
      <w:pPr>
        <w:pStyle w:val="ListeParagraf"/>
        <w:numPr>
          <w:ilvl w:val="0"/>
          <w:numId w:val="4"/>
        </w:numPr>
        <w:ind w:left="426" w:hanging="426"/>
        <w:jc w:val="both"/>
        <w:rPr>
          <w:rFonts w:ascii="Times New Roman" w:hAnsi="Times New Roman" w:cs="Times New Roman"/>
        </w:rPr>
      </w:pPr>
      <w:r w:rsidRPr="008542CD">
        <w:rPr>
          <w:rFonts w:ascii="Times New Roman" w:hAnsi="Times New Roman" w:cs="Times New Roman"/>
        </w:rPr>
        <w:t>Tüm enstitülerde ilgili enstitünün hazırladığı ve web sayfasına yüklediği</w:t>
      </w:r>
      <w:r w:rsidR="00E679CF" w:rsidRPr="008542CD">
        <w:rPr>
          <w:rFonts w:ascii="Times New Roman" w:hAnsi="Times New Roman" w:cs="Times New Roman"/>
        </w:rPr>
        <w:t>, öğrencinin müracaat aşamasında kullandığı</w:t>
      </w:r>
      <w:r w:rsidRPr="008542CD">
        <w:rPr>
          <w:rFonts w:ascii="Times New Roman" w:hAnsi="Times New Roman" w:cs="Times New Roman"/>
        </w:rPr>
        <w:t xml:space="preserve"> ders intibak formu kullanılır.</w:t>
      </w:r>
    </w:p>
    <w:p w:rsidR="008542CD" w:rsidRDefault="0099448B" w:rsidP="0099448B">
      <w:pPr>
        <w:pStyle w:val="ListeParagraf"/>
        <w:numPr>
          <w:ilvl w:val="0"/>
          <w:numId w:val="4"/>
        </w:numPr>
        <w:ind w:left="426" w:hanging="426"/>
        <w:jc w:val="both"/>
        <w:rPr>
          <w:rFonts w:ascii="Times New Roman" w:hAnsi="Times New Roman" w:cs="Times New Roman"/>
        </w:rPr>
      </w:pPr>
      <w:r w:rsidRPr="008542CD">
        <w:rPr>
          <w:rFonts w:ascii="Times New Roman" w:hAnsi="Times New Roman" w:cs="Times New Roman"/>
        </w:rPr>
        <w:t>Ders intibak formunda, öğrencinin azami eğitim-öğretiminden kaç dönem düşürüldüğü ve daha önce alınan dersin kodu, adı, kredisi ve başarı notu ile birlikte muaf olunan dersin kodu, adı, kredisi ve başarı notu belirtilir.</w:t>
      </w:r>
    </w:p>
    <w:p w:rsidR="0099448B" w:rsidRPr="008542CD" w:rsidRDefault="0099448B" w:rsidP="0099448B">
      <w:pPr>
        <w:pStyle w:val="ListeParagraf"/>
        <w:numPr>
          <w:ilvl w:val="0"/>
          <w:numId w:val="4"/>
        </w:numPr>
        <w:ind w:left="426" w:hanging="426"/>
        <w:jc w:val="both"/>
        <w:rPr>
          <w:rFonts w:ascii="Times New Roman" w:hAnsi="Times New Roman" w:cs="Times New Roman"/>
        </w:rPr>
      </w:pPr>
      <w:r w:rsidRPr="008542CD">
        <w:rPr>
          <w:rFonts w:ascii="Times New Roman" w:hAnsi="Times New Roman" w:cs="Times New Roman"/>
        </w:rPr>
        <w:t>Öğrencinin daha önce öğrenim gördüğü kurumdan almış olduğu öğrenim durum belgesinde (transkript) bir dersin başarı notu olarak;</w:t>
      </w:r>
    </w:p>
    <w:p w:rsidR="008542CD" w:rsidRDefault="0099448B" w:rsidP="0099448B">
      <w:pPr>
        <w:pStyle w:val="ListeParagraf"/>
        <w:numPr>
          <w:ilvl w:val="0"/>
          <w:numId w:val="6"/>
        </w:numPr>
        <w:jc w:val="both"/>
        <w:rPr>
          <w:rFonts w:ascii="Times New Roman" w:hAnsi="Times New Roman" w:cs="Times New Roman"/>
        </w:rPr>
      </w:pPr>
      <w:r w:rsidRPr="008542CD">
        <w:rPr>
          <w:rFonts w:ascii="Times New Roman" w:hAnsi="Times New Roman" w:cs="Times New Roman"/>
        </w:rPr>
        <w:t>Harf n</w:t>
      </w:r>
      <w:r w:rsidR="00C22A51">
        <w:rPr>
          <w:rFonts w:ascii="Times New Roman" w:hAnsi="Times New Roman" w:cs="Times New Roman"/>
        </w:rPr>
        <w:t>o</w:t>
      </w:r>
      <w:r w:rsidRPr="008542CD">
        <w:rPr>
          <w:rFonts w:ascii="Times New Roman" w:hAnsi="Times New Roman" w:cs="Times New Roman"/>
        </w:rPr>
        <w:t>tu varsa ve bu harf notu üniversitemizde kullanılan harf notu sistemiyle aynı ise ders intibak formuna bu harf not</w:t>
      </w:r>
      <w:r w:rsidR="008542CD">
        <w:rPr>
          <w:rFonts w:ascii="Times New Roman" w:hAnsi="Times New Roman" w:cs="Times New Roman"/>
        </w:rPr>
        <w:t>ları karşılıklı olarak yazılır.</w:t>
      </w:r>
    </w:p>
    <w:p w:rsidR="008542CD" w:rsidRDefault="0099448B" w:rsidP="0099448B">
      <w:pPr>
        <w:pStyle w:val="ListeParagraf"/>
        <w:numPr>
          <w:ilvl w:val="0"/>
          <w:numId w:val="6"/>
        </w:numPr>
        <w:jc w:val="both"/>
        <w:rPr>
          <w:rFonts w:ascii="Times New Roman" w:hAnsi="Times New Roman" w:cs="Times New Roman"/>
        </w:rPr>
      </w:pPr>
      <w:r w:rsidRPr="008542CD">
        <w:rPr>
          <w:rFonts w:ascii="Times New Roman" w:hAnsi="Times New Roman" w:cs="Times New Roman"/>
        </w:rPr>
        <w:t>Harf notu üniversitemizde kullanılan harf notu sistemiyle aynı değilse, ilgili üniversitenin lisansüstü eğitim-öğretim yönetmeliğinde belirtilen yüzlük not dönüştürme tablosunun üniversitemizdeki harf notu karşılığı yazılır.</w:t>
      </w:r>
    </w:p>
    <w:p w:rsidR="008542CD" w:rsidRDefault="0099448B" w:rsidP="0099448B">
      <w:pPr>
        <w:pStyle w:val="ListeParagraf"/>
        <w:numPr>
          <w:ilvl w:val="0"/>
          <w:numId w:val="6"/>
        </w:numPr>
        <w:jc w:val="both"/>
        <w:rPr>
          <w:rFonts w:ascii="Times New Roman" w:hAnsi="Times New Roman" w:cs="Times New Roman"/>
        </w:rPr>
      </w:pPr>
      <w:r w:rsidRPr="008542CD">
        <w:rPr>
          <w:rFonts w:ascii="Times New Roman" w:hAnsi="Times New Roman" w:cs="Times New Roman"/>
        </w:rPr>
        <w:lastRenderedPageBreak/>
        <w:t xml:space="preserve">Sadece yüzlük notu bulunuyor ise bu ders intibak formuna eklenir. Gaziantep Üniversitesi Lisansüstü Eğitim-Öğretim ve Sınav Yönetmeliğinde belirtilen harf notu karşılığı yazılır. </w:t>
      </w:r>
    </w:p>
    <w:p w:rsidR="008542CD" w:rsidRDefault="0099448B" w:rsidP="0099448B">
      <w:pPr>
        <w:pStyle w:val="ListeParagraf"/>
        <w:numPr>
          <w:ilvl w:val="0"/>
          <w:numId w:val="6"/>
        </w:numPr>
        <w:jc w:val="both"/>
        <w:rPr>
          <w:rFonts w:ascii="Times New Roman" w:hAnsi="Times New Roman" w:cs="Times New Roman"/>
        </w:rPr>
      </w:pPr>
      <w:r w:rsidRPr="008542CD">
        <w:rPr>
          <w:rFonts w:ascii="Times New Roman" w:hAnsi="Times New Roman" w:cs="Times New Roman"/>
        </w:rPr>
        <w:t>Notu sadece dörtlük sisteme göre ise, YÖK’ün “Dörtlük Sistemdeki Notların Yüzlük Sistemdeki Karşılıkları" referans alınarak ilgili dersin üniversitemizdeki harf notu karşılığı bulunur ve ders intibak formuna yazılır.</w:t>
      </w:r>
    </w:p>
    <w:p w:rsidR="008542CD" w:rsidRDefault="0099448B" w:rsidP="0099448B">
      <w:pPr>
        <w:pStyle w:val="ListeParagraf"/>
        <w:numPr>
          <w:ilvl w:val="0"/>
          <w:numId w:val="6"/>
        </w:numPr>
        <w:jc w:val="both"/>
        <w:rPr>
          <w:rFonts w:ascii="Times New Roman" w:hAnsi="Times New Roman" w:cs="Times New Roman"/>
        </w:rPr>
      </w:pPr>
      <w:r w:rsidRPr="008542CD">
        <w:rPr>
          <w:rFonts w:ascii="Times New Roman" w:hAnsi="Times New Roman" w:cs="Times New Roman"/>
        </w:rPr>
        <w:t>Önceki öğrenim durum belgesinde başarı notu olarak sadece “geçer”, “başarılı”, “yeterli”, “muaf” vb. terimler kullanılmışsa başarı notu olarak “S” harfi kullanılır.</w:t>
      </w:r>
    </w:p>
    <w:p w:rsidR="0099448B" w:rsidRPr="008542CD" w:rsidRDefault="0099448B" w:rsidP="0099448B">
      <w:pPr>
        <w:pStyle w:val="ListeParagraf"/>
        <w:numPr>
          <w:ilvl w:val="0"/>
          <w:numId w:val="6"/>
        </w:numPr>
        <w:jc w:val="both"/>
        <w:rPr>
          <w:rFonts w:ascii="Times New Roman" w:hAnsi="Times New Roman" w:cs="Times New Roman"/>
        </w:rPr>
      </w:pPr>
      <w:r w:rsidRPr="008542CD">
        <w:rPr>
          <w:rFonts w:ascii="Times New Roman" w:hAnsi="Times New Roman" w:cs="Times New Roman"/>
        </w:rPr>
        <w:t xml:space="preserve">Değişim programları çerçevesinde yurt içi ve yurt dışındaki yükseköğretim kurumlarından alınan lisansüstü dersler eğitim programında eşdeğer olan veya yerine sayılabilecek derslerle birlikte adı ve kredisi ile birlikte öğrencinin not döküm belgesine işlenir. </w:t>
      </w:r>
    </w:p>
    <w:p w:rsidR="0099448B" w:rsidRDefault="0099448B" w:rsidP="0099448B">
      <w:pPr>
        <w:jc w:val="both"/>
        <w:rPr>
          <w:rFonts w:ascii="Times New Roman" w:hAnsi="Times New Roman" w:cs="Times New Roman"/>
          <w:b/>
        </w:rPr>
      </w:pPr>
      <w:r>
        <w:rPr>
          <w:rFonts w:ascii="Times New Roman" w:hAnsi="Times New Roman" w:cs="Times New Roman"/>
          <w:b/>
        </w:rPr>
        <w:t xml:space="preserve"> </w:t>
      </w:r>
    </w:p>
    <w:p w:rsidR="0099448B" w:rsidRDefault="0099448B" w:rsidP="0099448B">
      <w:pPr>
        <w:jc w:val="both"/>
        <w:rPr>
          <w:rFonts w:ascii="Times New Roman" w:hAnsi="Times New Roman" w:cs="Times New Roman"/>
          <w:b/>
        </w:rPr>
      </w:pPr>
      <w:r>
        <w:rPr>
          <w:rFonts w:ascii="Times New Roman" w:hAnsi="Times New Roman" w:cs="Times New Roman"/>
          <w:b/>
        </w:rPr>
        <w:t>Hüküm bulunmayan haller</w:t>
      </w:r>
    </w:p>
    <w:p w:rsidR="0099448B" w:rsidRDefault="00105697" w:rsidP="0099448B">
      <w:pPr>
        <w:jc w:val="both"/>
        <w:rPr>
          <w:rFonts w:ascii="Times New Roman" w:hAnsi="Times New Roman" w:cs="Times New Roman"/>
          <w:b/>
        </w:rPr>
      </w:pPr>
      <w:r>
        <w:rPr>
          <w:rFonts w:ascii="Times New Roman" w:hAnsi="Times New Roman" w:cs="Times New Roman"/>
          <w:b/>
        </w:rPr>
        <w:t>Madde 7-</w:t>
      </w:r>
      <w:r w:rsidR="0099448B">
        <w:rPr>
          <w:rFonts w:ascii="Times New Roman" w:hAnsi="Times New Roman" w:cs="Times New Roman"/>
          <w:b/>
        </w:rPr>
        <w:t xml:space="preserve"> </w:t>
      </w:r>
      <w:r w:rsidR="0099448B">
        <w:rPr>
          <w:rFonts w:ascii="Times New Roman" w:hAnsi="Times New Roman" w:cs="Times New Roman"/>
        </w:rPr>
        <w:t>Bu yönergede hüküm bulunmayan hallerde, YÖK ve üniversitenin ilgili diğer mevzuat hükümleri, senato kararları ve ilgili enstitü yönetim kurulu kararları uygulanır.</w:t>
      </w:r>
    </w:p>
    <w:p w:rsidR="0099448B" w:rsidRDefault="0099448B" w:rsidP="0099448B">
      <w:pPr>
        <w:jc w:val="both"/>
        <w:rPr>
          <w:rFonts w:ascii="Times New Roman" w:hAnsi="Times New Roman" w:cs="Times New Roman"/>
          <w:b/>
        </w:rPr>
      </w:pPr>
      <w:r>
        <w:rPr>
          <w:rFonts w:ascii="Times New Roman" w:hAnsi="Times New Roman" w:cs="Times New Roman"/>
          <w:b/>
        </w:rPr>
        <w:t xml:space="preserve"> </w:t>
      </w:r>
    </w:p>
    <w:p w:rsidR="0099448B" w:rsidRDefault="0099448B" w:rsidP="0099448B">
      <w:pPr>
        <w:jc w:val="both"/>
        <w:rPr>
          <w:rFonts w:ascii="Times New Roman" w:hAnsi="Times New Roman" w:cs="Times New Roman"/>
          <w:b/>
        </w:rPr>
      </w:pPr>
      <w:r>
        <w:rPr>
          <w:rFonts w:ascii="Times New Roman" w:hAnsi="Times New Roman" w:cs="Times New Roman"/>
          <w:b/>
        </w:rPr>
        <w:t>Yürürlük</w:t>
      </w:r>
    </w:p>
    <w:p w:rsidR="0099448B" w:rsidRDefault="00105697" w:rsidP="0099448B">
      <w:pPr>
        <w:jc w:val="both"/>
        <w:rPr>
          <w:rFonts w:ascii="Times New Roman" w:hAnsi="Times New Roman" w:cs="Times New Roman"/>
          <w:b/>
        </w:rPr>
      </w:pPr>
      <w:r>
        <w:rPr>
          <w:rFonts w:ascii="Times New Roman" w:hAnsi="Times New Roman" w:cs="Times New Roman"/>
          <w:b/>
        </w:rPr>
        <w:t xml:space="preserve">Madde 8- </w:t>
      </w:r>
      <w:bookmarkStart w:id="0" w:name="_GoBack"/>
      <w:bookmarkEnd w:id="0"/>
      <w:r w:rsidR="0099448B">
        <w:rPr>
          <w:rFonts w:ascii="Times New Roman" w:hAnsi="Times New Roman" w:cs="Times New Roman"/>
        </w:rPr>
        <w:t>Bu Yönerge, Gaziantep Üniversitesi Senatosu tarafından kabul edildiği tarihte yürürlüğe girer.</w:t>
      </w:r>
    </w:p>
    <w:p w:rsidR="0099448B" w:rsidRDefault="0099448B" w:rsidP="0099448B">
      <w:pPr>
        <w:jc w:val="both"/>
        <w:rPr>
          <w:rFonts w:ascii="Times New Roman" w:hAnsi="Times New Roman" w:cs="Times New Roman"/>
          <w:b/>
        </w:rPr>
      </w:pPr>
      <w:r>
        <w:rPr>
          <w:rFonts w:ascii="Times New Roman" w:hAnsi="Times New Roman" w:cs="Times New Roman"/>
          <w:b/>
        </w:rPr>
        <w:t xml:space="preserve"> </w:t>
      </w:r>
    </w:p>
    <w:p w:rsidR="0099448B" w:rsidRDefault="0099448B" w:rsidP="0099448B">
      <w:pPr>
        <w:jc w:val="both"/>
        <w:rPr>
          <w:rFonts w:ascii="Times New Roman" w:hAnsi="Times New Roman" w:cs="Times New Roman"/>
          <w:b/>
        </w:rPr>
      </w:pPr>
      <w:r>
        <w:rPr>
          <w:rFonts w:ascii="Times New Roman" w:hAnsi="Times New Roman" w:cs="Times New Roman"/>
          <w:b/>
        </w:rPr>
        <w:t>Yürütme</w:t>
      </w:r>
    </w:p>
    <w:p w:rsidR="0099448B" w:rsidRDefault="00105697" w:rsidP="0099448B">
      <w:pPr>
        <w:jc w:val="both"/>
        <w:rPr>
          <w:rFonts w:ascii="Times New Roman" w:hAnsi="Times New Roman" w:cs="Times New Roman"/>
        </w:rPr>
      </w:pPr>
      <w:r>
        <w:rPr>
          <w:rFonts w:ascii="Times New Roman" w:hAnsi="Times New Roman" w:cs="Times New Roman"/>
          <w:b/>
        </w:rPr>
        <w:t xml:space="preserve">Madde 9- </w:t>
      </w:r>
      <w:r w:rsidR="0099448B">
        <w:rPr>
          <w:rFonts w:ascii="Times New Roman" w:hAnsi="Times New Roman" w:cs="Times New Roman"/>
        </w:rPr>
        <w:t>Bu Yönerge hükümlerini Gaziantep Üniversitesi Rektörü tarafından yürütür.</w:t>
      </w:r>
    </w:p>
    <w:p w:rsidR="0099448B" w:rsidRDefault="0099448B" w:rsidP="0099448B">
      <w:pPr>
        <w:rPr>
          <w:rFonts w:ascii="Times New Roman" w:hAnsi="Times New Roman" w:cs="Times New Roman"/>
          <w:b/>
        </w:rPr>
      </w:pPr>
      <w:r>
        <w:rPr>
          <w:rFonts w:ascii="Times New Roman" w:hAnsi="Times New Roman" w:cs="Times New Roman"/>
          <w:b/>
        </w:rPr>
        <w:t xml:space="preserve"> </w:t>
      </w:r>
    </w:p>
    <w:p w:rsidR="008E14EF" w:rsidRDefault="008E14EF"/>
    <w:sectPr w:rsidR="008E14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3E8E"/>
    <w:multiLevelType w:val="hybridMultilevel"/>
    <w:tmpl w:val="43B4BF9C"/>
    <w:lvl w:ilvl="0" w:tplc="63CE6B7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6720F3"/>
    <w:multiLevelType w:val="multilevel"/>
    <w:tmpl w:val="6B228016"/>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nsid w:val="2A7E6A63"/>
    <w:multiLevelType w:val="hybridMultilevel"/>
    <w:tmpl w:val="6D4C6DCC"/>
    <w:lvl w:ilvl="0" w:tplc="041F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C942EC"/>
    <w:multiLevelType w:val="multilevel"/>
    <w:tmpl w:val="1FEADF14"/>
    <w:lvl w:ilvl="0">
      <w:start w:val="2"/>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4">
    <w:nsid w:val="31610C21"/>
    <w:multiLevelType w:val="hybridMultilevel"/>
    <w:tmpl w:val="E77C1B38"/>
    <w:lvl w:ilvl="0" w:tplc="A4084A20">
      <w:start w:val="1"/>
      <mc:AlternateContent>
        <mc:Choice Requires="w14">
          <w:numFmt w:val="custom" w:format="a, ç, ĝ, ..."/>
        </mc:Choice>
        <mc:Fallback>
          <w:numFmt w:val="decimal"/>
        </mc:Fallback>
      </mc:AlternateContent>
      <w:lvlText w:val="%1)"/>
      <w:lvlJc w:val="left"/>
      <w:pPr>
        <w:ind w:left="720" w:hanging="360"/>
      </w:pPr>
      <w:rPr>
        <w:rFonts w:ascii="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F74180"/>
    <w:multiLevelType w:val="hybridMultilevel"/>
    <w:tmpl w:val="3C7AA79C"/>
    <w:lvl w:ilvl="0" w:tplc="041F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E85F28"/>
    <w:multiLevelType w:val="hybridMultilevel"/>
    <w:tmpl w:val="AE6CDDF0"/>
    <w:lvl w:ilvl="0" w:tplc="A4084A20">
      <w:start w:val="1"/>
      <mc:AlternateContent>
        <mc:Choice Requires="w14">
          <w:numFmt w:val="custom" w:format="a, ç, ĝ, ..."/>
        </mc:Choice>
        <mc:Fallback>
          <w:numFmt w:val="decimal"/>
        </mc:Fallback>
      </mc:AlternateContent>
      <w:lvlText w:val="%1)"/>
      <w:lvlJc w:val="left"/>
      <w:pPr>
        <w:ind w:left="720" w:hanging="360"/>
      </w:pPr>
      <w:rPr>
        <w:rFonts w:ascii="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6"/>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48B"/>
    <w:rsid w:val="00096604"/>
    <w:rsid w:val="00105697"/>
    <w:rsid w:val="001116E2"/>
    <w:rsid w:val="00111A38"/>
    <w:rsid w:val="0011257F"/>
    <w:rsid w:val="00287BDB"/>
    <w:rsid w:val="002D4F45"/>
    <w:rsid w:val="004130D1"/>
    <w:rsid w:val="004C505D"/>
    <w:rsid w:val="007B77F4"/>
    <w:rsid w:val="008372B1"/>
    <w:rsid w:val="008542CD"/>
    <w:rsid w:val="008A3D13"/>
    <w:rsid w:val="008E14EF"/>
    <w:rsid w:val="008E3D37"/>
    <w:rsid w:val="00925260"/>
    <w:rsid w:val="0099448B"/>
    <w:rsid w:val="009E4EC9"/>
    <w:rsid w:val="00AA62F5"/>
    <w:rsid w:val="00AB5F63"/>
    <w:rsid w:val="00B347BF"/>
    <w:rsid w:val="00B608C7"/>
    <w:rsid w:val="00B94A08"/>
    <w:rsid w:val="00C22A51"/>
    <w:rsid w:val="00D23BA6"/>
    <w:rsid w:val="00E35507"/>
    <w:rsid w:val="00E679CF"/>
    <w:rsid w:val="00F23DFF"/>
    <w:rsid w:val="00FF5F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88A500-0959-4944-85AC-19495ACF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48B"/>
    <w:pPr>
      <w:spacing w:after="0" w:line="240" w:lineRule="auto"/>
    </w:pPr>
    <w:rPr>
      <w:rFonts w:ascii="Calibri" w:eastAsia="Times New Roman" w:hAnsi="Calibri" w:cs="Calibri"/>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basedOn w:val="Normal"/>
    <w:rsid w:val="0099448B"/>
    <w:pPr>
      <w:autoSpaceDE w:val="0"/>
      <w:autoSpaceDN w:val="0"/>
      <w:adjustRightInd w:val="0"/>
    </w:pPr>
    <w:rPr>
      <w:rFonts w:ascii="Times New Roman" w:hAnsi="Times New Roman" w:cs="Times New Roman"/>
      <w:color w:val="000000"/>
    </w:rPr>
  </w:style>
  <w:style w:type="paragraph" w:styleId="BalonMetni">
    <w:name w:val="Balloon Text"/>
    <w:basedOn w:val="Normal"/>
    <w:link w:val="BalonMetniChar"/>
    <w:uiPriority w:val="99"/>
    <w:semiHidden/>
    <w:unhideWhenUsed/>
    <w:rsid w:val="00925260"/>
    <w:rPr>
      <w:rFonts w:ascii="Tahoma" w:hAnsi="Tahoma" w:cs="Tahoma"/>
      <w:sz w:val="16"/>
      <w:szCs w:val="16"/>
    </w:rPr>
  </w:style>
  <w:style w:type="character" w:customStyle="1" w:styleId="BalonMetniChar">
    <w:name w:val="Balon Metni Char"/>
    <w:basedOn w:val="VarsaylanParagrafYazTipi"/>
    <w:link w:val="BalonMetni"/>
    <w:uiPriority w:val="99"/>
    <w:semiHidden/>
    <w:rsid w:val="00925260"/>
    <w:rPr>
      <w:rFonts w:ascii="Tahoma" w:eastAsia="Times New Roman" w:hAnsi="Tahoma" w:cs="Tahoma"/>
      <w:sz w:val="16"/>
      <w:szCs w:val="16"/>
      <w:lang w:eastAsia="tr-TR"/>
    </w:rPr>
  </w:style>
  <w:style w:type="paragraph" w:styleId="Dzeltme">
    <w:name w:val="Revision"/>
    <w:hidden/>
    <w:uiPriority w:val="99"/>
    <w:semiHidden/>
    <w:rsid w:val="007B77F4"/>
    <w:pPr>
      <w:spacing w:after="0" w:line="240" w:lineRule="auto"/>
    </w:pPr>
    <w:rPr>
      <w:rFonts w:ascii="Calibri" w:eastAsia="Times New Roman" w:hAnsi="Calibri" w:cs="Calibri"/>
      <w:sz w:val="24"/>
      <w:szCs w:val="24"/>
      <w:lang w:eastAsia="tr-TR"/>
    </w:rPr>
  </w:style>
  <w:style w:type="paragraph" w:styleId="ListeParagraf">
    <w:name w:val="List Paragraph"/>
    <w:basedOn w:val="Normal"/>
    <w:uiPriority w:val="34"/>
    <w:qFormat/>
    <w:rsid w:val="00854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07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1098</Words>
  <Characters>6263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2026-01-12T11:20:00Z</dcterms:created>
  <dcterms:modified xsi:type="dcterms:W3CDTF">2026-01-15T11:56:00Z</dcterms:modified>
</cp:coreProperties>
</file>